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925998">
        <w:rPr>
          <w:rFonts w:ascii="Times New Roman" w:hAnsi="Times New Roman"/>
          <w:sz w:val="20"/>
          <w:szCs w:val="20"/>
        </w:rPr>
        <w:t>39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8214C2">
        <w:rPr>
          <w:rFonts w:ascii="Times New Roman" w:hAnsi="Times New Roman"/>
          <w:sz w:val="20"/>
          <w:szCs w:val="20"/>
        </w:rPr>
        <w:t>10.03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</w:t>
      </w:r>
      <w:r w:rsidR="00743D23">
        <w:rPr>
          <w:rFonts w:ascii="Times New Roman" w:hAnsi="Times New Roman"/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>Оплата производится в течение 15 ка</w:t>
      </w:r>
      <w:r w:rsidR="00E63B21">
        <w:rPr>
          <w:sz w:val="20"/>
          <w:szCs w:val="20"/>
        </w:rPr>
        <w:t>лендарных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925998">
        <w:rPr>
          <w:sz w:val="20"/>
          <w:szCs w:val="20"/>
        </w:rPr>
        <w:t xml:space="preserve">юго-западнее магазина «Универсам №175» по пр. Строителей.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01629D" w:rsidRPr="007A171B" w:rsidRDefault="0001629D" w:rsidP="0001629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1629D" w:rsidRPr="007A171B" w:rsidRDefault="0001629D" w:rsidP="0001629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01629D" w:rsidRPr="007A171B" w:rsidRDefault="0001629D" w:rsidP="000162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01629D" w:rsidRPr="007A171B" w:rsidRDefault="0001629D" w:rsidP="000162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01629D" w:rsidRPr="007A171B" w:rsidRDefault="0001629D" w:rsidP="000162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01629D" w:rsidRPr="007A171B" w:rsidRDefault="0001629D" w:rsidP="000162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925998">
        <w:rPr>
          <w:rFonts w:ascii="Times New Roman" w:eastAsia="Times New Roman" w:hAnsi="Times New Roman"/>
          <w:bCs/>
          <w:sz w:val="20"/>
          <w:szCs w:val="20"/>
          <w:lang w:eastAsia="ru-RU"/>
        </w:rPr>
        <w:t>160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925998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01629D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01629D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                                                                    - «сэндвич»</w:t>
      </w:r>
    </w:p>
    <w:p w:rsidR="0001629D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01629D" w:rsidRPr="007A171B" w:rsidRDefault="0001629D" w:rsidP="000162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01629D" w:rsidRPr="007A171B" w:rsidRDefault="0001629D" w:rsidP="0001629D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01629D" w:rsidRPr="007A171B" w:rsidRDefault="0001629D" w:rsidP="0001629D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01629D" w:rsidRPr="007A171B" w:rsidRDefault="0001629D" w:rsidP="0001629D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выполняется общим для КТП и концевой опоры 10 кВ (на концевой опоре)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01629D" w:rsidRPr="007A171B" w:rsidRDefault="0001629D" w:rsidP="0001629D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01629D" w:rsidRPr="007A171B" w:rsidRDefault="0001629D" w:rsidP="0001629D">
      <w:pPr>
        <w:pStyle w:val="a8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01629D" w:rsidRPr="007A171B" w:rsidRDefault="0001629D" w:rsidP="000162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01629D" w:rsidRPr="007A171B" w:rsidRDefault="0001629D" w:rsidP="000162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01629D" w:rsidRPr="007A171B" w:rsidRDefault="0001629D" w:rsidP="000162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01629D" w:rsidRPr="007A171B" w:rsidRDefault="0001629D" w:rsidP="000162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01629D" w:rsidRPr="007A171B" w:rsidRDefault="0001629D" w:rsidP="0001629D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01629D" w:rsidRPr="007A171B" w:rsidRDefault="0001629D" w:rsidP="000162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01629D" w:rsidRPr="007A171B" w:rsidRDefault="0001629D" w:rsidP="0001629D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01629D" w:rsidRPr="007A171B" w:rsidRDefault="0001629D" w:rsidP="0001629D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01629D" w:rsidRPr="007A171B" w:rsidRDefault="0001629D" w:rsidP="0001629D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3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01629D" w:rsidRPr="007A171B" w:rsidRDefault="0001629D" w:rsidP="0001629D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01629D" w:rsidRPr="007A171B" w:rsidRDefault="0001629D" w:rsidP="0001629D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01629D" w:rsidRPr="007A171B" w:rsidRDefault="0001629D" w:rsidP="0001629D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01629D" w:rsidRPr="007A171B" w:rsidRDefault="0001629D" w:rsidP="0001629D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дата поверки не ранее 3 кв. 2021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01629D" w:rsidRPr="007A171B" w:rsidRDefault="0001629D" w:rsidP="0001629D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01629D" w:rsidRPr="00B221CE" w:rsidRDefault="0001629D" w:rsidP="0001629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01629D" w:rsidRPr="00B221CE" w:rsidRDefault="0001629D" w:rsidP="0001629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01629D" w:rsidRPr="00B221CE" w:rsidRDefault="0001629D" w:rsidP="0001629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01629D" w:rsidRPr="00B221CE" w:rsidRDefault="0001629D" w:rsidP="0001629D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</w:t>
      </w:r>
      <w:r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01629D" w:rsidRDefault="0001629D" w:rsidP="0001629D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629D" w:rsidRPr="00C664F4" w:rsidRDefault="0001629D" w:rsidP="0001629D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01629D" w:rsidRDefault="0001629D" w:rsidP="0001629D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629D" w:rsidRPr="00C664F4" w:rsidRDefault="0001629D" w:rsidP="0001629D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lastRenderedPageBreak/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01629D" w:rsidRPr="00C664F4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01629D" w:rsidRPr="00C664F4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01629D" w:rsidRPr="00C664F4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01629D" w:rsidRPr="00C664F4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01629D" w:rsidRPr="00C664F4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01629D" w:rsidRPr="00C664F4" w:rsidRDefault="0001629D" w:rsidP="0001629D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01629D" w:rsidRPr="00C664F4" w:rsidRDefault="0001629D" w:rsidP="0001629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01629D" w:rsidRPr="00C664F4" w:rsidTr="006076DB">
        <w:tc>
          <w:tcPr>
            <w:tcW w:w="51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01629D" w:rsidRPr="00C664F4" w:rsidRDefault="0001629D" w:rsidP="00016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629D" w:rsidRPr="00C664F4" w:rsidRDefault="0001629D" w:rsidP="0001629D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01629D" w:rsidRPr="00C664F4" w:rsidRDefault="0001629D" w:rsidP="0001629D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01629D" w:rsidRPr="00C664F4" w:rsidRDefault="0001629D" w:rsidP="0001629D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1629D" w:rsidRPr="00C664F4" w:rsidRDefault="0001629D" w:rsidP="0001629D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01629D" w:rsidRPr="00C664F4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01629D" w:rsidRPr="00C664F4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1629D" w:rsidRPr="00C664F4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01629D" w:rsidRDefault="0001629D" w:rsidP="0001629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29D" w:rsidRPr="001C59A8" w:rsidRDefault="0001629D" w:rsidP="0001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01629D" w:rsidRPr="00C664F4" w:rsidRDefault="0001629D" w:rsidP="0001629D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01629D" w:rsidRPr="00C664F4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01629D" w:rsidRPr="00C664F4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01629D" w:rsidRPr="00C664F4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01629D" w:rsidRPr="00C664F4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01629D" w:rsidRPr="00826D67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01629D" w:rsidRDefault="0001629D" w:rsidP="0001629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629D" w:rsidRDefault="0001629D" w:rsidP="000162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01629D" w:rsidRDefault="0001629D" w:rsidP="000162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629D" w:rsidRPr="00C664F4" w:rsidRDefault="0001629D" w:rsidP="0001629D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01629D" w:rsidRPr="00C664F4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01629D" w:rsidRPr="00C664F4" w:rsidRDefault="0001629D" w:rsidP="00607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2224AB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 Конструкция шкафа должна обеспечивать удобство проведения замеров нагрузок каждого    присоединения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01629D" w:rsidRPr="00C664F4" w:rsidRDefault="0001629D" w:rsidP="006076D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2224AB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01629D" w:rsidRPr="00C664F4" w:rsidTr="006076DB">
        <w:tc>
          <w:tcPr>
            <w:tcW w:w="6897" w:type="dxa"/>
            <w:gridSpan w:val="3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01629D" w:rsidRPr="00C664F4" w:rsidTr="006076DB">
        <w:tc>
          <w:tcPr>
            <w:tcW w:w="6897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01629D" w:rsidRPr="00C664F4" w:rsidTr="006076DB">
        <w:tc>
          <w:tcPr>
            <w:tcW w:w="10172" w:type="dxa"/>
            <w:gridSpan w:val="5"/>
            <w:vAlign w:val="center"/>
          </w:tcPr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01629D" w:rsidRPr="00C664F4" w:rsidRDefault="0001629D" w:rsidP="006076DB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  аппаратный состав, и конструкции согласно </w:t>
            </w:r>
            <w:r w:rsidR="00925998">
              <w:rPr>
                <w:rFonts w:ascii="Times New Roman" w:hAnsi="Times New Roman"/>
                <w:color w:val="000000"/>
                <w:sz w:val="20"/>
                <w:szCs w:val="20"/>
              </w:rPr>
              <w:t>опросному листу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01629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8214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2224AB" w:rsidRDefault="0001629D" w:rsidP="006076DB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2224AB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01629D" w:rsidRPr="00C664F4" w:rsidTr="006076DB">
        <w:tc>
          <w:tcPr>
            <w:tcW w:w="6367" w:type="dxa"/>
            <w:gridSpan w:val="2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29D" w:rsidRPr="00C664F4" w:rsidTr="006076DB">
        <w:tc>
          <w:tcPr>
            <w:tcW w:w="6367" w:type="dxa"/>
            <w:gridSpan w:val="2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01629D" w:rsidRPr="00C664F4" w:rsidTr="006076DB">
        <w:tc>
          <w:tcPr>
            <w:tcW w:w="6367" w:type="dxa"/>
            <w:gridSpan w:val="2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01629D" w:rsidRPr="00C664F4" w:rsidTr="006076DB">
        <w:tc>
          <w:tcPr>
            <w:tcW w:w="6367" w:type="dxa"/>
            <w:gridSpan w:val="2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01629D" w:rsidRPr="00C664F4" w:rsidTr="006076DB">
        <w:tc>
          <w:tcPr>
            <w:tcW w:w="3813" w:type="dxa"/>
            <w:vMerge w:val="restart"/>
            <w:vAlign w:val="center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01629D" w:rsidRPr="00C664F4" w:rsidTr="006076DB">
        <w:tc>
          <w:tcPr>
            <w:tcW w:w="3813" w:type="dxa"/>
            <w:vMerge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01629D" w:rsidRPr="00C664F4" w:rsidRDefault="0001629D" w:rsidP="00607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C664F4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629D" w:rsidRPr="00C664F4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01629D" w:rsidRPr="00C664F4" w:rsidRDefault="0001629D" w:rsidP="006076D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01629D" w:rsidRPr="00C664F4" w:rsidRDefault="0001629D" w:rsidP="006076DB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01629D" w:rsidRPr="00C664F4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01629D" w:rsidRPr="00C664F4" w:rsidTr="006076DB">
        <w:tc>
          <w:tcPr>
            <w:tcW w:w="10172" w:type="dxa"/>
            <w:gridSpan w:val="5"/>
          </w:tcPr>
          <w:p w:rsidR="0001629D" w:rsidRPr="00C664F4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01629D" w:rsidRPr="00C664F4" w:rsidTr="006076DB">
        <w:tc>
          <w:tcPr>
            <w:tcW w:w="10172" w:type="dxa"/>
            <w:gridSpan w:val="5"/>
            <w:shd w:val="clear" w:color="auto" w:fill="FFFFFF"/>
          </w:tcPr>
          <w:p w:rsidR="0001629D" w:rsidRPr="00C664F4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01629D" w:rsidRPr="00C664F4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01629D" w:rsidRPr="00C664F4" w:rsidRDefault="0001629D" w:rsidP="0001629D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01629D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01629D" w:rsidRPr="008E3B9D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64ACA"/>
    <w:rsid w:val="001800E3"/>
    <w:rsid w:val="001C45D5"/>
    <w:rsid w:val="00245D6B"/>
    <w:rsid w:val="00252EA1"/>
    <w:rsid w:val="00255ED7"/>
    <w:rsid w:val="00346AB7"/>
    <w:rsid w:val="00422463"/>
    <w:rsid w:val="00462394"/>
    <w:rsid w:val="004A4644"/>
    <w:rsid w:val="00500573"/>
    <w:rsid w:val="00726AD0"/>
    <w:rsid w:val="00736E63"/>
    <w:rsid w:val="00743D23"/>
    <w:rsid w:val="007A53BC"/>
    <w:rsid w:val="008214C2"/>
    <w:rsid w:val="00856F31"/>
    <w:rsid w:val="00925998"/>
    <w:rsid w:val="00985494"/>
    <w:rsid w:val="009A0A21"/>
    <w:rsid w:val="009C2BAD"/>
    <w:rsid w:val="00A25670"/>
    <w:rsid w:val="00AF7ECB"/>
    <w:rsid w:val="00BC75DF"/>
    <w:rsid w:val="00BD0348"/>
    <w:rsid w:val="00BF334F"/>
    <w:rsid w:val="00CA113A"/>
    <w:rsid w:val="00CA2A8F"/>
    <w:rsid w:val="00CE1173"/>
    <w:rsid w:val="00CF4127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6021</Words>
  <Characters>34322</Characters>
  <Application>Microsoft Office Word</Application>
  <DocSecurity>0</DocSecurity>
  <Lines>286</Lines>
  <Paragraphs>80</Paragraphs>
  <ScaleCrop>false</ScaleCrop>
  <Company/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2022-03-10T07:08:00Z</dcterms:created>
  <dcterms:modified xsi:type="dcterms:W3CDTF">2022-03-10T07:08:00Z</dcterms:modified>
</cp:coreProperties>
</file>